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E802" w14:textId="77777777" w:rsidR="00D77A63" w:rsidRDefault="00D77A63" w:rsidP="00D77A63">
      <w:pPr>
        <w:shd w:val="clear" w:color="auto" w:fill="FFFFFF"/>
        <w:spacing w:after="150"/>
        <w:rPr>
          <w:rFonts w:ascii="BentonSans-Regular" w:hAnsi="BentonSans-Regular"/>
          <w:color w:val="333333"/>
          <w:sz w:val="24"/>
          <w:szCs w:val="24"/>
          <w:lang w:eastAsia="de-DE"/>
        </w:rPr>
      </w:pPr>
      <w:r>
        <w:rPr>
          <w:rFonts w:ascii="BentonSans-Regular" w:hAnsi="BentonSans-Regular"/>
          <w:color w:val="333333"/>
          <w:sz w:val="24"/>
          <w:szCs w:val="24"/>
          <w:lang w:eastAsia="de-DE"/>
        </w:rPr>
        <w:t xml:space="preserve">Folgende 3 Stufen sieht die </w:t>
      </w:r>
      <w:proofErr w:type="spellStart"/>
      <w:r>
        <w:rPr>
          <w:rFonts w:ascii="BentonSans-Regular" w:hAnsi="BentonSans-Regular"/>
          <w:color w:val="333333"/>
          <w:sz w:val="24"/>
          <w:szCs w:val="24"/>
          <w:lang w:eastAsia="de-DE"/>
        </w:rPr>
        <w:t>Coronaschutzverordnung</w:t>
      </w:r>
      <w:proofErr w:type="spellEnd"/>
      <w:r>
        <w:rPr>
          <w:rFonts w:ascii="BentonSans-Regular" w:hAnsi="BentonSans-Regular"/>
          <w:color w:val="333333"/>
          <w:sz w:val="24"/>
          <w:szCs w:val="24"/>
          <w:lang w:eastAsia="de-DE"/>
        </w:rPr>
        <w:t xml:space="preserve"> ab 28. Mai vor:</w:t>
      </w:r>
      <w:r>
        <w:rPr>
          <w:rFonts w:ascii="BentonSans-Regular" w:hAnsi="BentonSans-Regular"/>
          <w:color w:val="333333"/>
          <w:sz w:val="24"/>
          <w:szCs w:val="24"/>
          <w:lang w:eastAsia="de-DE"/>
        </w:rPr>
        <w:br/>
        <w:t> </w:t>
      </w:r>
    </w:p>
    <w:tbl>
      <w:tblPr>
        <w:tblW w:w="14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885"/>
        <w:gridCol w:w="3885"/>
        <w:gridCol w:w="3496"/>
      </w:tblGrid>
      <w:tr w:rsidR="00D77A63" w14:paraId="7AE1F632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680641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8C1474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3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100-50,1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6F9812E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2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50-35,1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CDD8FCA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Stufe 1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Inzidenz ≤ 35</w:t>
            </w:r>
          </w:p>
        </w:tc>
      </w:tr>
      <w:tr w:rsidR="00D77A63" w14:paraId="3C60F0C4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AED6BF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Kontakt-beschränkungen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3713D85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zwei Haushalten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51F2E1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drei Haushalten;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außerdem für zehn Personen mit Test aus beliebigen Haushalten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DF7A3A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Treffen im öffentlichen Raum sind ohne Begrenzung erlaubt für Angehörige aus fünf Haushalten;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außerdem für 100 Personen mit Test aus beliebigen Haushalten</w:t>
            </w:r>
          </w:p>
        </w:tc>
      </w:tr>
      <w:tr w:rsidR="00D77A63" w14:paraId="0309AAB4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E01660B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Außerschulische Bildung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B4A1D7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Präsenzunterricht ohne Begrenzung nach Personen oder Inhalten, innen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Musikunterricht mit Gesang/Blasinstrumenten innen mit 5 Personen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B19A09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Präsenzunterricht mit Test ohne Mindestabstände bei festen Sitzplätzen mit Sitzplan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Musikunterricht mit Gesang/Blasinstrumenten innen mit 10 Personen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6F187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ohne Maske am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festen Sitzplatz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35: auch innen ohne Test</w:t>
            </w:r>
          </w:p>
        </w:tc>
      </w:tr>
      <w:tr w:rsidR="00D77A63" w14:paraId="341E8A50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E67457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Kinder-/ Jugend-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</w:r>
            <w:proofErr w:type="spellStart"/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arbeit</w:t>
            </w:r>
            <w:proofErr w:type="spellEnd"/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809E2E2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10, außen 20 junge Menschen ohne Altersbegrenzung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Ferienangebote und Ferienreisen mit Test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E51C83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20, außen 30 junge Menschen ohne Altersbegrenzung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auch innen ohne Maske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27A2D09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Gruppenangebote innen 30, außen 50 junge Menschen ohne Altersbegrenzung ohne Test</w:t>
            </w:r>
          </w:p>
        </w:tc>
      </w:tr>
      <w:tr w:rsidR="00D77A63" w14:paraId="253F7346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ACE2F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Kultur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D8B4D7C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Veranstaltungen außen mit bis zu 500 Personen (Sitzplan) und Test,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Konzerte innen,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Theater, Oper, Kinos mit bis zu 250 Personen (Sitzplan) und Test, Sitzordnung nach Schachtbrettmuster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 xml:space="preserve">nicht-berufsmäßiger Probenbetrieb außen ohne Personenbegrenzung,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innen mit 20 Personen, Test, ohne Gesang / Blasinstrumente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285348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Konzerte innen, Theater, Oper, Kinos mit bis zu 500 Personen (Sitzplan) und Test, Sitzordnung nach Schachtbrettmuster</w:t>
            </w:r>
          </w:p>
          <w:p w14:paraId="0A0FC4B4" w14:textId="77777777" w:rsidR="00D77A63" w:rsidRDefault="00D77A63">
            <w:pPr>
              <w:spacing w:after="150"/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nicht-berufsmäßiger Probenbetrieb innen mit 20 Personen, Test, mit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Gesang/Blasinstrumenten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Museen usw. ohne Termin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F9F52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Veranstaltungen außen und innen, Theater, Oper, Kinos mit bis zu 1.000 Personen (Sitzplan) und Test,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nicht-berufsmäßiger Probenbetrieb innen mit 30 bzw. 50 Personen, mit Test, mit Gesang / Blasinstrumenten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 Musikfestivals mit bis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zu 1.000 Zuschauern mit Test und genehmigtem Konzept</w:t>
            </w:r>
          </w:p>
        </w:tc>
      </w:tr>
      <w:tr w:rsidR="00D77A63" w14:paraId="423BC7C9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E36198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lastRenderedPageBreak/>
              <w:t>Sport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C7EF6E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Kontaktfreier Außensport auf und außerhalb von Sportanlagen mit bis zu 25 Personen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Freibäder für Sportausübung (keine Liegewiesen)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bis zu 500 Zuschauer mit Test, Sitzplan, oh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ne prozentuale Kapazitätsbegren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DD232F0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Kontaktsport mit bis zu 25 Personen, kontaktfreier Sport ohne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(einschl. Fitnessstudios) kontaktfreier Sport ohne Personen-begrenzung, Kontaktsport mit bis zu 12 Personen, jeweils mit Kontaktverfolgung und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bis zu 1.000 Zuschauer, max. 33 Prozent der Kapazität, ohne Test, innen bis zu 500 Zuschauer mit Test und Sitzordnung nach Schachbrettmuster jeweils mit Sitzplan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3F8FE2C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Kontaktsport mit bis zu 100 Personen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Außen über 1.000 Zuschauer, max. 33 Prozent der Kapazität, innen bis zu 1.000 Zuschauer mit Test, max. 33 Prozent der Kapazität, jeweils mit Sitzplan, Sitzordnung nach Schachtbrettmuster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35: Innensport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Sportfeste ohne Personenbegrenzung mit genehmigtem Konzept mit Test</w:t>
            </w:r>
          </w:p>
        </w:tc>
      </w:tr>
      <w:tr w:rsidR="00D77A63" w14:paraId="4B26A25D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6C2FC8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Freizeit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71C340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Öffnung kleinerer Außen-Einrichtungen: Minigolf, Kletterpark, Hochseilgarten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Freibäder für Sportbetrieb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Ausflugsfahrten mit Schiffen usw. mit den Außenbereichen und Test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E5C65E8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Öffnung aller Bäder, Saunen usw. und Indoorspielplätze mit Test und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wenn Landesinzidenz ebenfalls ≤ 50: Freizeitparks und Spielbanken mit Test und Personenbegrenzung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 xml:space="preserve">wenn Landesinzidenz ebenfalls ≤ 50: Ausflugsfahrten 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mit Schiffen, Kutschen, histori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schen Eisenbahnen und ähnlichen Einrichtungen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BE78A1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Freibäder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Bordelle usw.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Clubs und Diskotheken mit Außenbereichen bis zu 100 Personen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wenn Landesinzidenz ebenfalls ≤ 35: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Clubs und Diskotheken auch Innenbereich und ohne Personenbegrenzung mit Test und genehmigtem Konzept</w:t>
            </w:r>
          </w:p>
        </w:tc>
      </w:tr>
      <w:tr w:rsidR="00D77A63" w14:paraId="121B0AC0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2F9684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lastRenderedPageBreak/>
              <w:t>Einzelhandel, der nicht Grundversorgung ist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0ADF96E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Wegfall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click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 &amp;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meet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, ohne Test, Reduzierung der Kundenbegrenzung auf 1 Person pro 20 qm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D46C2A2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Reduzierung der Kundenbegrenzung auf eine Person pro 10 qm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A59A3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Wegfall Sonderregel für über 800 qm große Geschäfte</w:t>
            </w:r>
          </w:p>
        </w:tc>
      </w:tr>
      <w:tr w:rsidR="00D77A63" w14:paraId="7F27729A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783381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Messen/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Märkte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5CA7D7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Messen und Ausstellungen mit Personenbegrenzung und Hygienekonzept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59FC3F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Jahr- und Spezialmärkte mit </w:t>
            </w:r>
            <w:proofErr w:type="spellStart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Personenbegrenzung,mit</w:t>
            </w:r>
            <w:proofErr w:type="spellEnd"/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 Test auch Kirmeselemente zulässig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D2E956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 auch Jahr- und Spezialmärkte mit Kirmeselementen ohne Test</w:t>
            </w:r>
          </w:p>
        </w:tc>
      </w:tr>
      <w:tr w:rsidR="00D77A63" w14:paraId="1008019B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7646F77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Tagungen/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Kongresse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314E2E6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517402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bis zu 500 Teilnehmer mit Test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DC647E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und innen bis zu 1.000 Personen mit Test</w:t>
            </w:r>
          </w:p>
        </w:tc>
      </w:tr>
      <w:tr w:rsidR="00D77A63" w14:paraId="374CD5D9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E3243E5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Private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Veranstaltungen</w:t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br/>
              <w:t>(ohne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Partys)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635E98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4309BC0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100,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innen bis zu 50 Gäste mit Test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D3E6E0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250 Gäste ohne Test, innen bis zu 100 Gäste mit Test</w:t>
            </w:r>
          </w:p>
        </w:tc>
      </w:tr>
      <w:tr w:rsidR="00D77A63" w14:paraId="7479B528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B4C1B2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Partys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67797AA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0231F7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43CF6E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 bis zu 100, innen bis zu 50 Gäste jeweils mit Test ohne Abstand</w:t>
            </w:r>
          </w:p>
        </w:tc>
      </w:tr>
      <w:tr w:rsidR="00D77A63" w14:paraId="5F5A7103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C27A5A8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Große Festveranstaltungen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0B0E0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B26D17A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B3F1D79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ab 01.09.: 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Volksfeste, Schützenfeste, Stadtfeste usw. bis zu 1.000 Besucher mit genehmigtem Konzept; wenn Landesinzidenz ebenfalls ≤ 35: ohne Besucherbegre</w:t>
            </w:r>
            <w:r w:rsidR="00A72737"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zung</w:t>
            </w:r>
          </w:p>
        </w:tc>
      </w:tr>
      <w:tr w:rsidR="00D77A63" w14:paraId="02E1B691" w14:textId="77777777" w:rsidTr="00D77A63">
        <w:tc>
          <w:tcPr>
            <w:tcW w:w="127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AE79ED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Gastronomie</w:t>
            </w:r>
          </w:p>
        </w:tc>
        <w:tc>
          <w:tcPr>
            <w:tcW w:w="213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8839E9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Öffnung Außengastronomie mit Test und Platzpflicht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Wegfall Umkreis-Verzehrverbot</w:t>
            </w:r>
          </w:p>
        </w:tc>
        <w:tc>
          <w:tcPr>
            <w:tcW w:w="2265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227E0F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Außengastronomie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Öffnung von Innengastronomie mit Test und Platzpflicht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Öffnung von Kantinen (für Betriebsangehörige ohne Test)</w:t>
            </w:r>
          </w:p>
        </w:tc>
        <w:tc>
          <w:tcPr>
            <w:tcW w:w="204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E4AB3D5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wenn Landesinzidenz ebenfalls ≤ 35: auch Innengastronomie ohne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</w:tr>
      <w:tr w:rsidR="00D77A63" w14:paraId="636E9952" w14:textId="77777777" w:rsidTr="00D77A63">
        <w:tc>
          <w:tcPr>
            <w:tcW w:w="127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259764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Beherbergung/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Bold" w:hAnsi="BentonSans-Bold"/>
                <w:color w:val="333333"/>
                <w:sz w:val="24"/>
                <w:szCs w:val="24"/>
                <w:lang w:eastAsia="de-DE"/>
              </w:rPr>
              <w:t>Tourismus</w:t>
            </w:r>
          </w:p>
        </w:tc>
        <w:tc>
          <w:tcPr>
            <w:tcW w:w="213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52DB271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>„Autarke“ Übernachtungen (Ferienwohnungen, Camping, Wohnmobile)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Öffnung von Hotels ohne Kapazitätsbegrenzung auch für private Übernachtungen mit Frühstück, aber ohne weitere Innengastronomie; mit Test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Busreisen mit Test und Kapazitätsbegrenzung (60 Prozent), falls nicht ausschließlich Geimpfte/Genesene teilnehmen oder alle Atemschutzmasken tragen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br/>
              <w:t> </w:t>
            </w:r>
          </w:p>
        </w:tc>
        <w:tc>
          <w:tcPr>
            <w:tcW w:w="2265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23851A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volle gastronomische Versorgung für private Gäste</w:t>
            </w:r>
          </w:p>
        </w:tc>
        <w:tc>
          <w:tcPr>
            <w:tcW w:w="2040" w:type="dxa"/>
            <w:shd w:val="clear" w:color="auto" w:fill="EAEFF6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B5E713" w14:textId="77777777" w:rsidR="00D77A63" w:rsidRDefault="00D77A63">
            <w:pP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t xml:space="preserve">Busreisen ohne Kapazitätsbegrenzung, wenn alle </w:t>
            </w:r>
            <w:r>
              <w:rPr>
                <w:rFonts w:ascii="BentonSans-Regular" w:hAnsi="BentonSans-Regular"/>
                <w:color w:val="333333"/>
                <w:sz w:val="24"/>
                <w:szCs w:val="24"/>
                <w:lang w:eastAsia="de-DE"/>
              </w:rPr>
              <w:lastRenderedPageBreak/>
              <w:t>Teilnehmer aus Regionen mit Inzidenz ≤ 35 kommen</w:t>
            </w:r>
          </w:p>
        </w:tc>
      </w:tr>
    </w:tbl>
    <w:p w14:paraId="24FCBB54" w14:textId="77777777" w:rsidR="00EF626A" w:rsidRPr="008339F4" w:rsidRDefault="00EF626A" w:rsidP="008339F4"/>
    <w:sectPr w:rsidR="00EF626A" w:rsidRPr="008339F4" w:rsidSect="00D77A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-Regular">
    <w:altName w:val="Times New Roman"/>
    <w:charset w:val="00"/>
    <w:family w:val="auto"/>
    <w:pitch w:val="default"/>
  </w:font>
  <w:font w:name="BentonSan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63"/>
    <w:rsid w:val="00000FC4"/>
    <w:rsid w:val="00097047"/>
    <w:rsid w:val="000A5F4F"/>
    <w:rsid w:val="00115710"/>
    <w:rsid w:val="001F7A22"/>
    <w:rsid w:val="002A0D32"/>
    <w:rsid w:val="002D70C6"/>
    <w:rsid w:val="00373631"/>
    <w:rsid w:val="003C71EE"/>
    <w:rsid w:val="003D4D9D"/>
    <w:rsid w:val="0041196C"/>
    <w:rsid w:val="004428BB"/>
    <w:rsid w:val="00444876"/>
    <w:rsid w:val="004612F9"/>
    <w:rsid w:val="005C0147"/>
    <w:rsid w:val="0065046D"/>
    <w:rsid w:val="006D3383"/>
    <w:rsid w:val="006F0356"/>
    <w:rsid w:val="00707B5C"/>
    <w:rsid w:val="00732E62"/>
    <w:rsid w:val="007B1991"/>
    <w:rsid w:val="007D569B"/>
    <w:rsid w:val="008266CB"/>
    <w:rsid w:val="008339F4"/>
    <w:rsid w:val="00870AAF"/>
    <w:rsid w:val="008816E0"/>
    <w:rsid w:val="00881D92"/>
    <w:rsid w:val="0097048C"/>
    <w:rsid w:val="00977773"/>
    <w:rsid w:val="00A24DCA"/>
    <w:rsid w:val="00A72737"/>
    <w:rsid w:val="00B9597D"/>
    <w:rsid w:val="00BA59DD"/>
    <w:rsid w:val="00BF039E"/>
    <w:rsid w:val="00C853A3"/>
    <w:rsid w:val="00CC0D48"/>
    <w:rsid w:val="00D24D10"/>
    <w:rsid w:val="00D7597D"/>
    <w:rsid w:val="00D77A63"/>
    <w:rsid w:val="00E17675"/>
    <w:rsid w:val="00EF626A"/>
    <w:rsid w:val="00F35937"/>
    <w:rsid w:val="00FB152B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459"/>
  <w15:chartTrackingRefBased/>
  <w15:docId w15:val="{75C68CE1-9B8C-46BA-B977-42E4114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A6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046D"/>
    <w:pPr>
      <w:keepNext/>
      <w:keepLines/>
      <w:spacing w:before="120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046D"/>
    <w:pPr>
      <w:keepNext/>
      <w:keepLines/>
      <w:spacing w:before="120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046D"/>
    <w:pPr>
      <w:keepNext/>
      <w:keepLines/>
      <w:spacing w:before="120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046D"/>
    <w:pPr>
      <w:keepNext/>
      <w:keepLines/>
      <w:spacing w:before="120"/>
      <w:outlineLvl w:val="3"/>
    </w:pPr>
    <w:rPr>
      <w:rFonts w:ascii="Arial" w:eastAsiaTheme="majorEastAsia" w:hAnsi="Arial" w:cs="Arial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046D"/>
    <w:pPr>
      <w:keepNext/>
      <w:keepLines/>
      <w:spacing w:before="120"/>
      <w:outlineLvl w:val="4"/>
    </w:pPr>
    <w:rPr>
      <w:rFonts w:ascii="Arial" w:eastAsiaTheme="majorEastAsia" w:hAnsi="Arial" w:cs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046D"/>
    <w:pPr>
      <w:keepNext/>
      <w:keepLines/>
      <w:spacing w:before="120"/>
      <w:outlineLvl w:val="5"/>
    </w:pPr>
    <w:rPr>
      <w:rFonts w:ascii="Arial" w:eastAsiaTheme="majorEastAsia" w:hAnsi="Arial" w:cs="Arial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046D"/>
    <w:pPr>
      <w:keepNext/>
      <w:keepLines/>
      <w:spacing w:before="120"/>
      <w:outlineLvl w:val="6"/>
    </w:pPr>
    <w:rPr>
      <w:rFonts w:ascii="Arial" w:eastAsiaTheme="majorEastAsia" w:hAnsi="Arial" w:cs="Arial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046D"/>
    <w:pPr>
      <w:keepNext/>
      <w:keepLines/>
      <w:spacing w:before="120"/>
      <w:outlineLvl w:val="7"/>
    </w:pPr>
    <w:rPr>
      <w:rFonts w:ascii="Arial" w:eastAsiaTheme="majorEastAsia" w:hAnsi="Arial" w:cs="Arial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046D"/>
    <w:pPr>
      <w:keepNext/>
      <w:keepLines/>
      <w:spacing w:before="120"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046D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046D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046D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046D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046D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046D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046D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046D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046D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5046D"/>
    <w:pPr>
      <w:contextualSpacing/>
      <w:jc w:val="center"/>
    </w:pPr>
    <w:rPr>
      <w:rFonts w:ascii="Arial" w:eastAsiaTheme="majorEastAsia" w:hAnsi="Arial" w:cs="Arial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046D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A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schmitzfra</dc:creator>
  <cp:keywords/>
  <dc:description/>
  <cp:lastModifiedBy>Thomas Sauer</cp:lastModifiedBy>
  <cp:revision>2</cp:revision>
  <cp:lastPrinted>2021-05-27T11:26:00Z</cp:lastPrinted>
  <dcterms:created xsi:type="dcterms:W3CDTF">2021-05-28T10:51:00Z</dcterms:created>
  <dcterms:modified xsi:type="dcterms:W3CDTF">2021-05-28T10:51:00Z</dcterms:modified>
</cp:coreProperties>
</file>